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C051" w14:textId="6A2390E3" w:rsidR="003C7EDF" w:rsidRDefault="003C7EDF" w:rsidP="003C7EDF">
      <w:pPr>
        <w:jc w:val="center"/>
        <w:rPr>
          <w:rFonts w:ascii="Gill Sans MT" w:eastAsia="Gill Sans MT" w:hAnsi="Gill Sans MT"/>
          <w:b/>
          <w:color w:val="000000"/>
          <w:spacing w:val="-5"/>
        </w:rPr>
      </w:pPr>
      <w:r w:rsidRPr="00D51EFA">
        <w:rPr>
          <w:noProof/>
          <w:lang w:eastAsia="en-GB"/>
        </w:rPr>
        <w:drawing>
          <wp:inline distT="0" distB="0" distL="0" distR="0" wp14:anchorId="717A386B" wp14:editId="78D3468C">
            <wp:extent cx="1466215" cy="1143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0"/>
                    <a:stretch>
                      <a:fillRect/>
                    </a:stretch>
                  </pic:blipFill>
                  <pic:spPr>
                    <a:xfrm>
                      <a:off x="0" y="0"/>
                      <a:ext cx="1466215" cy="1143000"/>
                    </a:xfrm>
                    <a:prstGeom prst="rect">
                      <a:avLst/>
                    </a:prstGeom>
                  </pic:spPr>
                </pic:pic>
              </a:graphicData>
            </a:graphic>
          </wp:inline>
        </w:drawing>
      </w:r>
    </w:p>
    <w:p w14:paraId="29213F71" w14:textId="77777777" w:rsidR="003C7EDF" w:rsidRDefault="003C7EDF" w:rsidP="003C7EDF">
      <w:pPr>
        <w:jc w:val="center"/>
        <w:rPr>
          <w:rFonts w:ascii="Gill Sans MT" w:eastAsia="Gill Sans MT" w:hAnsi="Gill Sans MT"/>
          <w:b/>
          <w:color w:val="000000"/>
          <w:spacing w:val="-5"/>
        </w:rPr>
      </w:pPr>
      <w:r>
        <w:rPr>
          <w:rFonts w:ascii="Gill Sans MT" w:eastAsia="Gill Sans MT" w:hAnsi="Gill Sans MT"/>
          <w:b/>
          <w:color w:val="000000"/>
          <w:spacing w:val="-5"/>
        </w:rPr>
        <w:t>Fraud Policy</w:t>
      </w:r>
    </w:p>
    <w:p w14:paraId="3C04AE1B" w14:textId="4304C5B3" w:rsidR="005D7D20" w:rsidRPr="00CE3ADA" w:rsidRDefault="005D7D20" w:rsidP="005D7D20">
      <w:pPr>
        <w:rPr>
          <w:rFonts w:ascii="Gill Sans MT" w:eastAsia="Gill Sans MT" w:hAnsi="Gill Sans MT"/>
          <w:b/>
          <w:color w:val="000000"/>
          <w:spacing w:val="-5"/>
        </w:rPr>
      </w:pPr>
      <w:r w:rsidRPr="00CE3ADA">
        <w:rPr>
          <w:rFonts w:ascii="Gill Sans MT" w:eastAsia="Gill Sans MT" w:hAnsi="Gill Sans MT"/>
          <w:b/>
          <w:color w:val="000000"/>
          <w:spacing w:val="-5"/>
        </w:rPr>
        <w:t>Introduction</w:t>
      </w:r>
    </w:p>
    <w:p w14:paraId="1A981A0A" w14:textId="77777777" w:rsidR="005D7D20" w:rsidRPr="00CE3ADA" w:rsidRDefault="005D7D20" w:rsidP="005D7D20">
      <w:pPr>
        <w:rPr>
          <w:rFonts w:ascii="Gill Sans MT" w:eastAsia="Gill Sans MT" w:hAnsi="Gill Sans MT"/>
          <w:color w:val="000000"/>
        </w:rPr>
      </w:pPr>
      <w:r w:rsidRPr="00CE3ADA">
        <w:rPr>
          <w:rFonts w:ascii="Gill Sans MT" w:eastAsia="Gill Sans MT" w:hAnsi="Gill Sans MT"/>
          <w:color w:val="000000"/>
        </w:rPr>
        <w:t>The purpose of this statement is to set out Jesus College’s (the ‘College’) policy on fraud and responsibilities that all members of the College have for its prevention. It also refers you to the steps to be taken if you discover or suspect fraud.</w:t>
      </w:r>
    </w:p>
    <w:p w14:paraId="582BB3B8" w14:textId="1D09E591" w:rsidR="005D7D20" w:rsidRPr="00CE3ADA" w:rsidRDefault="005D7D20" w:rsidP="005D7D20">
      <w:pPr>
        <w:rPr>
          <w:rFonts w:ascii="Gill Sans MT" w:eastAsia="Gill Sans MT" w:hAnsi="Gill Sans MT"/>
          <w:color w:val="000000"/>
        </w:rPr>
      </w:pPr>
      <w:r w:rsidRPr="00CE3ADA">
        <w:rPr>
          <w:rFonts w:ascii="Gill Sans MT" w:eastAsia="Gill Sans MT" w:hAnsi="Gill Sans MT"/>
          <w:color w:val="000000"/>
        </w:rPr>
        <w:t>The College requires staff</w:t>
      </w:r>
      <w:r w:rsidR="009B2DE5">
        <w:rPr>
          <w:rFonts w:ascii="Gill Sans MT" w:eastAsia="Gill Sans MT" w:hAnsi="Gill Sans MT"/>
          <w:color w:val="000000"/>
        </w:rPr>
        <w:t>, fellows and students</w:t>
      </w:r>
      <w:r w:rsidRPr="00CE3ADA">
        <w:rPr>
          <w:rFonts w:ascii="Gill Sans MT" w:eastAsia="Gill Sans MT" w:hAnsi="Gill Sans MT"/>
          <w:color w:val="000000"/>
        </w:rPr>
        <w:t xml:space="preserve"> at all times to act honestly and with integrity and to safeguard the resources for which they are responsible. Fraud is an ever-present threat to these resources and hence must be a concern of all </w:t>
      </w:r>
      <w:r w:rsidR="009B2DE5">
        <w:rPr>
          <w:rFonts w:ascii="Gill Sans MT" w:eastAsia="Gill Sans MT" w:hAnsi="Gill Sans MT"/>
          <w:color w:val="000000"/>
        </w:rPr>
        <w:t>members of the community</w:t>
      </w:r>
      <w:r w:rsidRPr="00CE3ADA">
        <w:rPr>
          <w:rFonts w:ascii="Gill Sans MT" w:eastAsia="Gill Sans MT" w:hAnsi="Gill Sans MT"/>
          <w:color w:val="000000"/>
        </w:rPr>
        <w:t>.</w:t>
      </w:r>
    </w:p>
    <w:p w14:paraId="1F9A7BA1" w14:textId="77777777" w:rsidR="005D7D20" w:rsidRPr="00CE3ADA" w:rsidRDefault="005D7D20" w:rsidP="005D7D20">
      <w:pPr>
        <w:rPr>
          <w:rFonts w:ascii="Gill Sans MT" w:eastAsia="Gill Sans MT" w:hAnsi="Gill Sans MT"/>
          <w:b/>
          <w:color w:val="000000"/>
          <w:spacing w:val="-4"/>
        </w:rPr>
      </w:pPr>
      <w:r w:rsidRPr="00CE3ADA">
        <w:rPr>
          <w:rFonts w:ascii="Gill Sans MT" w:eastAsia="Gill Sans MT" w:hAnsi="Gill Sans MT"/>
          <w:b/>
          <w:color w:val="000000"/>
          <w:spacing w:val="-4"/>
        </w:rPr>
        <w:t>What is fraud?</w:t>
      </w:r>
    </w:p>
    <w:p w14:paraId="0485848B" w14:textId="1FB8B808" w:rsidR="005D7D20" w:rsidRPr="00CE3ADA" w:rsidRDefault="005D7D20" w:rsidP="005D7D20">
      <w:pPr>
        <w:rPr>
          <w:rFonts w:ascii="Gill Sans MT" w:eastAsia="Gill Sans MT" w:hAnsi="Gill Sans MT"/>
          <w:color w:val="000000"/>
          <w:spacing w:val="-1"/>
        </w:rPr>
      </w:pPr>
      <w:r w:rsidRPr="00CE3ADA">
        <w:rPr>
          <w:rFonts w:ascii="Gill Sans MT" w:eastAsia="Gill Sans MT" w:hAnsi="Gill Sans MT"/>
          <w:color w:val="000000"/>
          <w:spacing w:val="-1"/>
        </w:rPr>
        <w:t>The term fraud is used to describe a whole range of activities such as deception, bribery, forgery, extortion, corruption, theft, conspiracy, embezzlement, misappropriation, false representation, concealment of material facts and collusion. It also applies to the many and various telephone, text and social media scams that feature so regularly in today’s world. Generally, fraud involves the intention to deceive a person or organisation in order to obtain an advantage, avoid an obligation or cause loss.</w:t>
      </w:r>
    </w:p>
    <w:p w14:paraId="113A6CB1" w14:textId="5C66E03F" w:rsidR="005D7D20" w:rsidRDefault="005D7D20" w:rsidP="005D7D20">
      <w:pPr>
        <w:rPr>
          <w:rFonts w:ascii="Gill Sans MT" w:eastAsia="Gill Sans MT" w:hAnsi="Gill Sans MT"/>
          <w:color w:val="000000"/>
        </w:rPr>
      </w:pPr>
      <w:r w:rsidRPr="00CE3ADA">
        <w:rPr>
          <w:rFonts w:ascii="Gill Sans MT" w:eastAsia="Gill Sans MT" w:hAnsi="Gill Sans MT"/>
          <w:color w:val="000000"/>
        </w:rPr>
        <w:t>The term also includes the use of information technology equipment to manipulate programs or data dishonestly, the theft of IT equipment and software, and the intentional misuse of computer time and resources.</w:t>
      </w:r>
    </w:p>
    <w:p w14:paraId="71B5C699" w14:textId="0ECDCE32" w:rsidR="009B2DE5" w:rsidRDefault="009B2DE5" w:rsidP="005D7D20">
      <w:pPr>
        <w:rPr>
          <w:rFonts w:ascii="Gill Sans MT" w:eastAsia="Gill Sans MT" w:hAnsi="Gill Sans MT"/>
          <w:color w:val="000000"/>
        </w:rPr>
      </w:pPr>
      <w:r>
        <w:rPr>
          <w:rFonts w:ascii="Gill Sans MT" w:eastAsia="Gill Sans MT" w:hAnsi="Gill Sans MT"/>
          <w:color w:val="000000"/>
        </w:rPr>
        <w:t>Examples of fraud in the context of higher education include, but are not limited to:</w:t>
      </w:r>
    </w:p>
    <w:p w14:paraId="06BC6CA0"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Fraud involving cash or physical assets</w:t>
      </w:r>
    </w:p>
    <w:p w14:paraId="059FF0DF"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Fraud involving confidential information</w:t>
      </w:r>
    </w:p>
    <w:p w14:paraId="63E85E12"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Procurement and payment fraud</w:t>
      </w:r>
    </w:p>
    <w:p w14:paraId="646DC82E"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Payroll fraud</w:t>
      </w:r>
    </w:p>
    <w:p w14:paraId="62A57F46"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Fraudulent expense claims</w:t>
      </w:r>
    </w:p>
    <w:p w14:paraId="02109639"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Fraudulent financial reporting (i.e. revenue recognition, asset valuation etc)</w:t>
      </w:r>
    </w:p>
    <w:p w14:paraId="515FAA80" w14:textId="77777777" w:rsidR="009B2DE5" w:rsidRPr="009B2DE5" w:rsidRDefault="009B2DE5" w:rsidP="009B2DE5">
      <w:pPr>
        <w:pStyle w:val="ListParagraph"/>
        <w:numPr>
          <w:ilvl w:val="0"/>
          <w:numId w:val="1"/>
        </w:numPr>
        <w:rPr>
          <w:rFonts w:ascii="Gill Sans MT" w:eastAsia="Gill Sans MT" w:hAnsi="Gill Sans MT"/>
          <w:color w:val="000000"/>
        </w:rPr>
      </w:pPr>
      <w:r>
        <w:rPr>
          <w:rFonts w:ascii="Gill Sans MT" w:eastAsia="Gill Sans MT" w:hAnsi="Gill Sans MT"/>
          <w:color w:val="000000"/>
        </w:rPr>
        <w:t>F</w:t>
      </w:r>
      <w:r w:rsidRPr="009B2DE5">
        <w:rPr>
          <w:rFonts w:ascii="Gill Sans MT" w:eastAsia="Gill Sans MT" w:hAnsi="Gill Sans MT"/>
          <w:color w:val="000000"/>
        </w:rPr>
        <w:t>raudulent regulatory and non-financial reporting</w:t>
      </w:r>
    </w:p>
    <w:p w14:paraId="5E1CC745"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Facilitation of tax evasion</w:t>
      </w:r>
    </w:p>
    <w:p w14:paraId="11157996"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Academic fraud including admissions, examinations, awards and research</w:t>
      </w:r>
    </w:p>
    <w:p w14:paraId="7FE628F5"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 xml:space="preserve">Reference and qualification fraud </w:t>
      </w:r>
    </w:p>
    <w:p w14:paraId="3BBE4B6C"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Immigration fraud</w:t>
      </w:r>
    </w:p>
    <w:p w14:paraId="0E603100"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Recruitment, appointment and employment fraud</w:t>
      </w:r>
    </w:p>
    <w:p w14:paraId="1B447A69"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Bribery and corruption fraud</w:t>
      </w:r>
    </w:p>
    <w:p w14:paraId="2D18C478" w14:textId="77777777" w:rsidR="009B2DE5" w:rsidRPr="009B2DE5"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Anti-competitive behaviour</w:t>
      </w:r>
    </w:p>
    <w:p w14:paraId="2A35FD85" w14:textId="77777777" w:rsidR="009B2DE5" w:rsidRPr="00CE3ADA" w:rsidRDefault="009B2DE5" w:rsidP="009B2DE5">
      <w:pPr>
        <w:pStyle w:val="ListParagraph"/>
        <w:numPr>
          <w:ilvl w:val="0"/>
          <w:numId w:val="1"/>
        </w:numPr>
        <w:rPr>
          <w:rFonts w:ascii="Gill Sans MT" w:eastAsia="Gill Sans MT" w:hAnsi="Gill Sans MT"/>
          <w:color w:val="000000"/>
        </w:rPr>
      </w:pPr>
      <w:r w:rsidRPr="009B2DE5">
        <w:rPr>
          <w:rFonts w:ascii="Gill Sans MT" w:eastAsia="Gill Sans MT" w:hAnsi="Gill Sans MT"/>
          <w:color w:val="000000"/>
        </w:rPr>
        <w:t>Accommodation-related fraud, including preference and payment</w:t>
      </w:r>
    </w:p>
    <w:p w14:paraId="559F9326" w14:textId="77777777" w:rsidR="009B2DE5" w:rsidRDefault="009B2DE5" w:rsidP="009B2DE5">
      <w:pPr>
        <w:rPr>
          <w:rFonts w:ascii="Gill Sans MT" w:eastAsia="Gill Sans MT" w:hAnsi="Gill Sans MT"/>
          <w:b/>
          <w:color w:val="000000"/>
          <w:spacing w:val="-2"/>
        </w:rPr>
      </w:pPr>
    </w:p>
    <w:p w14:paraId="09686B84" w14:textId="5C80D606" w:rsidR="005D7D20" w:rsidRPr="00CE3ADA" w:rsidRDefault="005D7D20" w:rsidP="009B2DE5">
      <w:pPr>
        <w:rPr>
          <w:rFonts w:ascii="Gill Sans MT" w:eastAsia="Gill Sans MT" w:hAnsi="Gill Sans MT"/>
          <w:b/>
          <w:color w:val="000000"/>
          <w:spacing w:val="-2"/>
        </w:rPr>
      </w:pPr>
      <w:r w:rsidRPr="00CE3ADA">
        <w:rPr>
          <w:rFonts w:ascii="Gill Sans MT" w:eastAsia="Gill Sans MT" w:hAnsi="Gill Sans MT"/>
          <w:b/>
          <w:color w:val="000000"/>
          <w:spacing w:val="-2"/>
        </w:rPr>
        <w:t>The College’s attitude to fraud</w:t>
      </w:r>
    </w:p>
    <w:p w14:paraId="05F156B0" w14:textId="0C78C1E8" w:rsidR="005D7D20" w:rsidRPr="00CE3ADA" w:rsidRDefault="003C7EDF" w:rsidP="005D7D20">
      <w:pPr>
        <w:rPr>
          <w:rFonts w:ascii="Gill Sans MT" w:eastAsia="Gill Sans MT" w:hAnsi="Gill Sans MT"/>
          <w:color w:val="000000"/>
        </w:rPr>
      </w:pPr>
      <w:r w:rsidRPr="003C7EDF">
        <w:rPr>
          <w:rFonts w:ascii="Gill Sans MT" w:eastAsia="Gill Sans MT" w:hAnsi="Gill Sans MT"/>
          <w:color w:val="7030A0"/>
        </w:rPr>
        <w:lastRenderedPageBreak/>
        <w:t xml:space="preserve">The </w:t>
      </w:r>
      <w:r>
        <w:rPr>
          <w:rFonts w:ascii="Gill Sans MT" w:eastAsia="Gill Sans MT" w:hAnsi="Gill Sans MT"/>
          <w:color w:val="7030A0"/>
        </w:rPr>
        <w:t>College</w:t>
      </w:r>
      <w:r w:rsidRPr="003C7EDF">
        <w:rPr>
          <w:rFonts w:ascii="Gill Sans MT" w:eastAsia="Gill Sans MT" w:hAnsi="Gill Sans MT"/>
          <w:color w:val="7030A0"/>
        </w:rPr>
        <w:t xml:space="preserve"> is committed to conducting its activities fairly, honestly and openly, in accordance with relevant legislation, and to the highest standards of integrity. </w:t>
      </w:r>
      <w:r w:rsidR="005D7D20" w:rsidRPr="00CE3ADA">
        <w:rPr>
          <w:rFonts w:ascii="Gill Sans MT" w:eastAsia="Gill Sans MT" w:hAnsi="Gill Sans MT"/>
          <w:color w:val="000000"/>
        </w:rPr>
        <w:t xml:space="preserve">The College </w:t>
      </w:r>
      <w:r>
        <w:rPr>
          <w:rFonts w:ascii="Gill Sans MT" w:eastAsia="Gill Sans MT" w:hAnsi="Gill Sans MT"/>
          <w:color w:val="000000"/>
        </w:rPr>
        <w:t xml:space="preserve">has zero tolerance </w:t>
      </w:r>
      <w:r w:rsidR="005D7D20" w:rsidRPr="00CE3ADA">
        <w:rPr>
          <w:rFonts w:ascii="Gill Sans MT" w:eastAsia="Gill Sans MT" w:hAnsi="Gill Sans MT"/>
          <w:color w:val="000000"/>
        </w:rPr>
        <w:t>of any attempt to commit fraud by members of staff, contractors, their employees and agents acting on behalf of the College, and others. Staff</w:t>
      </w:r>
      <w:r>
        <w:rPr>
          <w:rFonts w:ascii="Gill Sans MT" w:eastAsia="Gill Sans MT" w:hAnsi="Gill Sans MT"/>
          <w:color w:val="000000"/>
        </w:rPr>
        <w:t>, fellows or students</w:t>
      </w:r>
      <w:r w:rsidR="005D7D20" w:rsidRPr="00CE3ADA">
        <w:rPr>
          <w:rFonts w:ascii="Gill Sans MT" w:eastAsia="Gill Sans MT" w:hAnsi="Gill Sans MT"/>
          <w:color w:val="000000"/>
        </w:rPr>
        <w:t xml:space="preserve"> involved in impropriety of any kind will be subject to disciplinary action, including prosecution, if appropriate. The College treats attempted fraud as seriously as accomplished fraud.</w:t>
      </w:r>
    </w:p>
    <w:p w14:paraId="1697461A" w14:textId="44592DFD" w:rsidR="005D7D20" w:rsidRDefault="005D7D20" w:rsidP="005D7D20">
      <w:pPr>
        <w:rPr>
          <w:rFonts w:ascii="Gill Sans MT" w:eastAsia="Gill Sans MT" w:hAnsi="Gill Sans MT"/>
          <w:color w:val="000000"/>
        </w:rPr>
      </w:pPr>
      <w:r w:rsidRPr="00CE3ADA">
        <w:rPr>
          <w:rFonts w:ascii="Gill Sans MT" w:eastAsia="Gill Sans MT" w:hAnsi="Gill Sans MT"/>
          <w:color w:val="000000"/>
        </w:rPr>
        <w:t xml:space="preserve">Instances of fraud or attempted fraud </w:t>
      </w:r>
      <w:r w:rsidR="003C7EDF">
        <w:rPr>
          <w:rFonts w:ascii="Gill Sans MT" w:eastAsia="Gill Sans MT" w:hAnsi="Gill Sans MT"/>
          <w:color w:val="000000"/>
        </w:rPr>
        <w:t xml:space="preserve">by employees </w:t>
      </w:r>
      <w:r w:rsidRPr="00CE3ADA">
        <w:rPr>
          <w:rFonts w:ascii="Gill Sans MT" w:eastAsia="Gill Sans MT" w:hAnsi="Gill Sans MT"/>
          <w:color w:val="000000"/>
        </w:rPr>
        <w:t xml:space="preserve">will be dealt with under the Disciplinary Policy and could lead to dismissal. Where the matter is considered gross </w:t>
      </w:r>
      <w:proofErr w:type="gramStart"/>
      <w:r w:rsidRPr="00CE3ADA">
        <w:rPr>
          <w:rFonts w:ascii="Gill Sans MT" w:eastAsia="Gill Sans MT" w:hAnsi="Gill Sans MT"/>
          <w:color w:val="000000"/>
        </w:rPr>
        <w:t>misconduct</w:t>
      </w:r>
      <w:proofErr w:type="gramEnd"/>
      <w:r w:rsidRPr="00CE3ADA">
        <w:rPr>
          <w:rFonts w:ascii="Gill Sans MT" w:eastAsia="Gill Sans MT" w:hAnsi="Gill Sans MT"/>
          <w:color w:val="000000"/>
        </w:rPr>
        <w:t xml:space="preserve"> this could mean instant dismissal.</w:t>
      </w:r>
      <w:r w:rsidR="009B2DE5">
        <w:rPr>
          <w:rFonts w:ascii="Gill Sans MT" w:eastAsia="Gill Sans MT" w:hAnsi="Gill Sans MT"/>
          <w:color w:val="000000"/>
        </w:rPr>
        <w:t xml:space="preserve"> Students and Fellows will also be dealt with under the relevant disciplinary procedures. It may also lead to civil recovery proceedings, and/or reference to professional bodies and /or the policy of other criminal investigation agency and may result in prosecution. For other associated persons, breach of this policy may result in other contractual, legal or other sanctions.</w:t>
      </w:r>
    </w:p>
    <w:p w14:paraId="39CB42ED" w14:textId="77777777" w:rsidR="009B2DE5" w:rsidRPr="009B2DE5" w:rsidRDefault="009B2DE5" w:rsidP="009B2DE5">
      <w:pPr>
        <w:pStyle w:val="NormalWeb"/>
        <w:shd w:val="clear" w:color="auto" w:fill="FFFFFF"/>
        <w:spacing w:before="0" w:beforeAutospacing="0" w:after="150" w:afterAutospacing="0"/>
        <w:rPr>
          <w:rFonts w:ascii="Gill Sans MT" w:eastAsia="Gill Sans MT" w:hAnsi="Gill Sans MT" w:cstheme="minorBidi"/>
          <w:color w:val="000000"/>
          <w:sz w:val="22"/>
          <w:szCs w:val="22"/>
          <w:lang w:eastAsia="en-US"/>
        </w:rPr>
      </w:pPr>
      <w:r w:rsidRPr="009B2DE5">
        <w:rPr>
          <w:rFonts w:ascii="Gill Sans MT" w:eastAsia="Gill Sans MT" w:hAnsi="Gill Sans MT" w:cstheme="minorBidi"/>
          <w:color w:val="000000"/>
          <w:sz w:val="22"/>
          <w:szCs w:val="22"/>
          <w:lang w:eastAsia="en-US"/>
        </w:rPr>
        <w:t>Individuals found guilty of an offence under the Fraud Act can face an unlimited fine and/or a prison sentence of up to 10 years.</w:t>
      </w:r>
    </w:p>
    <w:p w14:paraId="45D35AB6" w14:textId="77777777" w:rsidR="009B2DE5" w:rsidRPr="009B2DE5" w:rsidRDefault="009B2DE5" w:rsidP="009B2DE5">
      <w:pPr>
        <w:pStyle w:val="NormalWeb"/>
        <w:shd w:val="clear" w:color="auto" w:fill="FFFFFF"/>
        <w:spacing w:before="0" w:beforeAutospacing="0" w:after="150" w:afterAutospacing="0"/>
        <w:rPr>
          <w:rFonts w:ascii="Gill Sans MT" w:eastAsia="Gill Sans MT" w:hAnsi="Gill Sans MT" w:cstheme="minorBidi"/>
          <w:color w:val="000000"/>
          <w:sz w:val="22"/>
          <w:szCs w:val="22"/>
          <w:lang w:eastAsia="en-US"/>
        </w:rPr>
      </w:pPr>
      <w:r w:rsidRPr="009B2DE5">
        <w:rPr>
          <w:rFonts w:ascii="Gill Sans MT" w:eastAsia="Gill Sans MT" w:hAnsi="Gill Sans MT" w:cstheme="minorBidi"/>
          <w:color w:val="000000"/>
          <w:sz w:val="22"/>
          <w:szCs w:val="22"/>
          <w:lang w:eastAsia="en-US"/>
        </w:rPr>
        <w:t>Individuals who refuse to take part in fraud, or who report concerns under this policy in good faith, will be protected from detrimental treatment or retaliation. Detrimental treatment includes dismissal, disciplinary action, threats or other unfavourable treatment connecte</w:t>
      </w:r>
      <w:r>
        <w:rPr>
          <w:rFonts w:ascii="Gill Sans MT" w:eastAsia="Gill Sans MT" w:hAnsi="Gill Sans MT" w:cstheme="minorBidi"/>
          <w:color w:val="000000"/>
          <w:sz w:val="22"/>
          <w:szCs w:val="22"/>
          <w:lang w:eastAsia="en-US"/>
        </w:rPr>
        <w:t>d with raising a concern. (See Whistle-blowing policy</w:t>
      </w:r>
      <w:r w:rsidRPr="009B2DE5">
        <w:rPr>
          <w:rFonts w:ascii="Gill Sans MT" w:eastAsia="Gill Sans MT" w:hAnsi="Gill Sans MT" w:cstheme="minorBidi"/>
          <w:color w:val="000000"/>
          <w:sz w:val="22"/>
          <w:szCs w:val="22"/>
          <w:lang w:eastAsia="en-US"/>
        </w:rPr>
        <w:t>).</w:t>
      </w:r>
    </w:p>
    <w:p w14:paraId="584BBF13" w14:textId="77777777" w:rsidR="009B2DE5" w:rsidRPr="009B2DE5" w:rsidRDefault="009B2DE5" w:rsidP="009B2DE5">
      <w:pPr>
        <w:pStyle w:val="NormalWeb"/>
        <w:shd w:val="clear" w:color="auto" w:fill="FFFFFF"/>
        <w:spacing w:before="0" w:beforeAutospacing="0" w:after="0" w:afterAutospacing="0"/>
        <w:rPr>
          <w:rFonts w:ascii="Gill Sans MT" w:eastAsia="Gill Sans MT" w:hAnsi="Gill Sans MT" w:cstheme="minorBidi"/>
          <w:color w:val="000000"/>
          <w:sz w:val="22"/>
          <w:szCs w:val="22"/>
          <w:lang w:eastAsia="en-US"/>
        </w:rPr>
      </w:pPr>
      <w:r w:rsidRPr="009B2DE5">
        <w:rPr>
          <w:rFonts w:ascii="Gill Sans MT" w:eastAsia="Gill Sans MT" w:hAnsi="Gill Sans MT" w:cstheme="minorBidi"/>
          <w:color w:val="000000"/>
          <w:sz w:val="22"/>
          <w:szCs w:val="22"/>
          <w:lang w:eastAsia="en-US"/>
        </w:rPr>
        <w:t>Malicious or vexatious complaints may result in disciplinary action</w:t>
      </w:r>
    </w:p>
    <w:p w14:paraId="2C46242B" w14:textId="77777777" w:rsidR="009B2DE5" w:rsidRPr="00CE3ADA" w:rsidRDefault="009B2DE5" w:rsidP="005D7D20">
      <w:pPr>
        <w:rPr>
          <w:rFonts w:ascii="Gill Sans MT" w:eastAsia="Gill Sans MT" w:hAnsi="Gill Sans MT"/>
          <w:color w:val="000000"/>
        </w:rPr>
      </w:pPr>
    </w:p>
    <w:p w14:paraId="446914B5" w14:textId="77777777" w:rsidR="005D7D20" w:rsidRPr="00CE3ADA" w:rsidRDefault="005D7D20" w:rsidP="005D7D20">
      <w:pPr>
        <w:rPr>
          <w:rFonts w:ascii="Gill Sans MT" w:eastAsia="Gill Sans MT" w:hAnsi="Gill Sans MT"/>
          <w:b/>
          <w:color w:val="000000"/>
          <w:spacing w:val="-3"/>
        </w:rPr>
      </w:pPr>
      <w:r w:rsidRPr="00CE3ADA">
        <w:rPr>
          <w:rFonts w:ascii="Gill Sans MT" w:eastAsia="Gill Sans MT" w:hAnsi="Gill Sans MT"/>
          <w:b/>
          <w:color w:val="000000"/>
          <w:spacing w:val="-3"/>
        </w:rPr>
        <w:t>Responsibilities</w:t>
      </w:r>
    </w:p>
    <w:p w14:paraId="0E4C459D" w14:textId="77777777" w:rsidR="005D7D20" w:rsidRPr="00CE3ADA" w:rsidRDefault="005D7D20" w:rsidP="005D7D20">
      <w:pPr>
        <w:rPr>
          <w:rFonts w:ascii="Gill Sans MT" w:eastAsia="Gill Sans MT" w:hAnsi="Gill Sans MT"/>
          <w:color w:val="000000"/>
        </w:rPr>
      </w:pPr>
      <w:r w:rsidRPr="00CE3ADA">
        <w:rPr>
          <w:rFonts w:ascii="Gill Sans MT" w:eastAsia="Gill Sans MT" w:hAnsi="Gill Sans MT"/>
          <w:color w:val="000000"/>
        </w:rPr>
        <w:t>The College Officers are responsible to the Trustees and Governing Body for:</w:t>
      </w:r>
    </w:p>
    <w:p w14:paraId="1F17540E" w14:textId="77777777" w:rsidR="005D7D20" w:rsidRPr="00CE3ADA" w:rsidRDefault="005D7D20" w:rsidP="005D7D20">
      <w:pPr>
        <w:pStyle w:val="ListParagraph"/>
        <w:numPr>
          <w:ilvl w:val="0"/>
          <w:numId w:val="1"/>
        </w:numPr>
        <w:rPr>
          <w:rFonts w:ascii="Gill Sans MT" w:eastAsia="Gill Sans MT" w:hAnsi="Gill Sans MT"/>
          <w:color w:val="000000"/>
        </w:rPr>
      </w:pPr>
      <w:r w:rsidRPr="00CE3ADA">
        <w:rPr>
          <w:rFonts w:ascii="Gill Sans MT" w:eastAsia="Gill Sans MT" w:hAnsi="Gill Sans MT"/>
          <w:color w:val="000000"/>
        </w:rPr>
        <w:t>Developing and maintaining effective controls to help prevent or detect fraud;</w:t>
      </w:r>
    </w:p>
    <w:p w14:paraId="5D006384" w14:textId="77777777" w:rsidR="005D7D20" w:rsidRPr="00CE3ADA" w:rsidRDefault="005D7D20" w:rsidP="005D7D20">
      <w:pPr>
        <w:pStyle w:val="ListParagraph"/>
        <w:numPr>
          <w:ilvl w:val="0"/>
          <w:numId w:val="1"/>
        </w:numPr>
        <w:rPr>
          <w:rFonts w:ascii="Gill Sans MT" w:eastAsia="Gill Sans MT" w:hAnsi="Gill Sans MT"/>
          <w:color w:val="000000"/>
        </w:rPr>
      </w:pPr>
      <w:r w:rsidRPr="00CE3ADA">
        <w:rPr>
          <w:rFonts w:ascii="Gill Sans MT" w:eastAsia="Gill Sans MT" w:hAnsi="Gill Sans MT"/>
          <w:color w:val="000000"/>
        </w:rPr>
        <w:t>Carrying out vigorous and prompt investigations if fraud occurs;</w:t>
      </w:r>
    </w:p>
    <w:p w14:paraId="72F6B543" w14:textId="77777777" w:rsidR="005D7D20" w:rsidRPr="00CE3ADA" w:rsidRDefault="005D7D20" w:rsidP="005D7D20">
      <w:pPr>
        <w:pStyle w:val="ListParagraph"/>
        <w:numPr>
          <w:ilvl w:val="0"/>
          <w:numId w:val="1"/>
        </w:numPr>
        <w:rPr>
          <w:rFonts w:ascii="Gill Sans MT" w:eastAsia="Gill Sans MT" w:hAnsi="Gill Sans MT"/>
          <w:color w:val="000000"/>
        </w:rPr>
      </w:pPr>
      <w:r w:rsidRPr="00CE3ADA">
        <w:rPr>
          <w:rFonts w:ascii="Gill Sans MT" w:eastAsia="Gill Sans MT" w:hAnsi="Gill Sans MT"/>
          <w:color w:val="000000"/>
        </w:rPr>
        <w:t>Taking appropriate disciplinary and/or legal action against perpetrators of fraud; and</w:t>
      </w:r>
    </w:p>
    <w:p w14:paraId="3580D7AF" w14:textId="070E3D0C" w:rsidR="005D7D20" w:rsidRPr="00CE3ADA" w:rsidRDefault="005D7D20" w:rsidP="005D7D20">
      <w:pPr>
        <w:rPr>
          <w:rFonts w:ascii="Gill Sans MT" w:eastAsia="Gill Sans MT" w:hAnsi="Gill Sans MT"/>
          <w:color w:val="000000"/>
        </w:rPr>
      </w:pPr>
      <w:r w:rsidRPr="009B2DE5">
        <w:rPr>
          <w:rFonts w:ascii="Gill Sans MT" w:eastAsia="Gill Sans MT" w:hAnsi="Gill Sans MT"/>
          <w:color w:val="000000"/>
        </w:rPr>
        <w:t xml:space="preserve">Taking disciplinary action against managers where their failures have contributed to the commission of the </w:t>
      </w:r>
      <w:proofErr w:type="spellStart"/>
      <w:proofErr w:type="gramStart"/>
      <w:r w:rsidRPr="009B2DE5">
        <w:rPr>
          <w:rFonts w:ascii="Gill Sans MT" w:eastAsia="Gill Sans MT" w:hAnsi="Gill Sans MT"/>
          <w:color w:val="000000"/>
        </w:rPr>
        <w:t>fraud.</w:t>
      </w:r>
      <w:r w:rsidRPr="00CE3ADA">
        <w:rPr>
          <w:rFonts w:ascii="Gill Sans MT" w:eastAsia="Gill Sans MT" w:hAnsi="Gill Sans MT"/>
          <w:color w:val="000000"/>
        </w:rPr>
        <w:t>Line</w:t>
      </w:r>
      <w:proofErr w:type="spellEnd"/>
      <w:proofErr w:type="gramEnd"/>
      <w:r w:rsidRPr="00CE3ADA">
        <w:rPr>
          <w:rFonts w:ascii="Gill Sans MT" w:eastAsia="Gill Sans MT" w:hAnsi="Gill Sans MT"/>
          <w:color w:val="000000"/>
        </w:rPr>
        <w:t xml:space="preserve"> managers are responsible for the prevention and detection of fraud by ensuring that an adequate system of internal control exists within their areas of responsibility, and these controls operate effectively.</w:t>
      </w:r>
      <w:r w:rsidR="003C7EDF">
        <w:rPr>
          <w:rFonts w:ascii="Gill Sans MT" w:eastAsia="Gill Sans MT" w:hAnsi="Gill Sans MT"/>
          <w:color w:val="000000"/>
        </w:rPr>
        <w:t xml:space="preserve"> </w:t>
      </w:r>
      <w:r w:rsidRPr="00CE3ADA">
        <w:rPr>
          <w:rFonts w:ascii="Gill Sans MT" w:eastAsia="Gill Sans MT" w:hAnsi="Gill Sans MT"/>
          <w:color w:val="000000"/>
        </w:rPr>
        <w:t>As a result, there is a need for all managers to:</w:t>
      </w:r>
    </w:p>
    <w:p w14:paraId="2ADF1DC8" w14:textId="77777777" w:rsidR="005D7D20" w:rsidRPr="00CE3ADA" w:rsidRDefault="005D7D20" w:rsidP="005D7D20">
      <w:pPr>
        <w:pStyle w:val="ListParagraph"/>
        <w:numPr>
          <w:ilvl w:val="0"/>
          <w:numId w:val="2"/>
        </w:numPr>
        <w:rPr>
          <w:rFonts w:ascii="Gill Sans MT" w:eastAsia="Gill Sans MT" w:hAnsi="Gill Sans MT"/>
          <w:color w:val="000000"/>
          <w:spacing w:val="-2"/>
        </w:rPr>
      </w:pPr>
      <w:r w:rsidRPr="00CE3ADA">
        <w:rPr>
          <w:rFonts w:ascii="Gill Sans MT" w:eastAsia="Gill Sans MT" w:hAnsi="Gill Sans MT"/>
          <w:color w:val="000000"/>
          <w:spacing w:val="-2"/>
        </w:rPr>
        <w:t>Identify and assess the risks involved in the operations for which they are responsible;</w:t>
      </w:r>
    </w:p>
    <w:p w14:paraId="4C8646E4" w14:textId="77777777" w:rsidR="005D7D20" w:rsidRPr="00CE3ADA" w:rsidRDefault="005D7D20" w:rsidP="005D7D20">
      <w:pPr>
        <w:pStyle w:val="ListParagraph"/>
        <w:numPr>
          <w:ilvl w:val="0"/>
          <w:numId w:val="2"/>
        </w:numPr>
        <w:rPr>
          <w:rFonts w:ascii="Gill Sans MT" w:eastAsia="Gill Sans MT" w:hAnsi="Gill Sans MT"/>
          <w:color w:val="000000"/>
        </w:rPr>
      </w:pPr>
      <w:r w:rsidRPr="00CE3ADA">
        <w:rPr>
          <w:rFonts w:ascii="Gill Sans MT" w:eastAsia="Gill Sans MT" w:hAnsi="Gill Sans MT"/>
          <w:color w:val="000000"/>
        </w:rPr>
        <w:t>Develop and maintain effective controls to prevent and detect fraud;</w:t>
      </w:r>
    </w:p>
    <w:p w14:paraId="565A6C5F" w14:textId="77777777" w:rsidR="005D7D20" w:rsidRPr="00CE3ADA" w:rsidRDefault="005D7D20" w:rsidP="005D7D20">
      <w:pPr>
        <w:pStyle w:val="ListParagraph"/>
        <w:numPr>
          <w:ilvl w:val="0"/>
          <w:numId w:val="2"/>
        </w:numPr>
        <w:rPr>
          <w:rFonts w:ascii="Gill Sans MT" w:eastAsia="Gill Sans MT" w:hAnsi="Gill Sans MT"/>
          <w:color w:val="000000"/>
        </w:rPr>
      </w:pPr>
      <w:r w:rsidRPr="00CE3ADA">
        <w:rPr>
          <w:rFonts w:ascii="Gill Sans MT" w:eastAsia="Gill Sans MT" w:hAnsi="Gill Sans MT"/>
          <w:color w:val="000000"/>
        </w:rPr>
        <w:t>Ensure compliance with controls.</w:t>
      </w:r>
    </w:p>
    <w:p w14:paraId="384A1088" w14:textId="77777777" w:rsidR="003C7EDF" w:rsidRDefault="005D7D20" w:rsidP="005D7D20">
      <w:pPr>
        <w:pStyle w:val="ListParagraph"/>
        <w:numPr>
          <w:ilvl w:val="0"/>
          <w:numId w:val="2"/>
        </w:numPr>
        <w:rPr>
          <w:rFonts w:ascii="Gill Sans MT" w:eastAsia="Gill Sans MT" w:hAnsi="Gill Sans MT"/>
          <w:color w:val="000000"/>
        </w:rPr>
      </w:pPr>
      <w:r w:rsidRPr="00CE3ADA">
        <w:rPr>
          <w:rFonts w:ascii="Gill Sans MT" w:eastAsia="Gill Sans MT" w:hAnsi="Gill Sans MT"/>
          <w:color w:val="000000"/>
        </w:rPr>
        <w:t xml:space="preserve">Ensure that agreed procedures are followed. </w:t>
      </w:r>
    </w:p>
    <w:p w14:paraId="65FC66A8" w14:textId="4848B520" w:rsidR="005D7D20" w:rsidRPr="003C7EDF" w:rsidRDefault="009B2DE5" w:rsidP="003C7EDF">
      <w:pPr>
        <w:rPr>
          <w:rFonts w:ascii="Gill Sans MT" w:eastAsia="Gill Sans MT" w:hAnsi="Gill Sans MT"/>
          <w:color w:val="000000"/>
        </w:rPr>
      </w:pPr>
      <w:r>
        <w:rPr>
          <w:rFonts w:ascii="Gill Sans MT" w:eastAsia="Gill Sans MT" w:hAnsi="Gill Sans MT"/>
          <w:color w:val="000000"/>
        </w:rPr>
        <w:t>All other staff members, fellows and students</w:t>
      </w:r>
    </w:p>
    <w:p w14:paraId="1EFB1552" w14:textId="77777777" w:rsidR="005D7D20" w:rsidRPr="00CE3ADA" w:rsidRDefault="005D7D20" w:rsidP="003C7EDF">
      <w:pPr>
        <w:pStyle w:val="ListParagraph"/>
        <w:numPr>
          <w:ilvl w:val="0"/>
          <w:numId w:val="2"/>
        </w:numPr>
        <w:rPr>
          <w:rFonts w:ascii="Gill Sans MT" w:eastAsia="Gill Sans MT" w:hAnsi="Gill Sans MT"/>
          <w:color w:val="000000"/>
          <w:spacing w:val="-1"/>
        </w:rPr>
      </w:pPr>
      <w:r w:rsidRPr="00CE3ADA">
        <w:rPr>
          <w:rFonts w:ascii="Gill Sans MT" w:eastAsia="Gill Sans MT" w:hAnsi="Gill Sans MT"/>
          <w:color w:val="000000"/>
          <w:spacing w:val="-1"/>
        </w:rPr>
        <w:t>Has a duty to ensure that the College’s funds, reputation and assets are safeguarded;</w:t>
      </w:r>
    </w:p>
    <w:p w14:paraId="216DBFE9" w14:textId="6E3EF72F" w:rsidR="005D7D20" w:rsidRPr="00CE3ADA" w:rsidRDefault="005D7D20" w:rsidP="003C7EDF">
      <w:pPr>
        <w:pStyle w:val="ListParagraph"/>
        <w:numPr>
          <w:ilvl w:val="0"/>
          <w:numId w:val="2"/>
        </w:numPr>
        <w:rPr>
          <w:rFonts w:ascii="Gill Sans MT" w:eastAsia="Gill Sans MT" w:hAnsi="Gill Sans MT"/>
          <w:color w:val="000000"/>
        </w:rPr>
      </w:pPr>
      <w:r w:rsidRPr="00CE3ADA">
        <w:rPr>
          <w:rFonts w:ascii="Gill Sans MT" w:eastAsia="Gill Sans MT" w:hAnsi="Gill Sans MT"/>
          <w:color w:val="000000"/>
        </w:rPr>
        <w:t>Should alert their line manager</w:t>
      </w:r>
      <w:r w:rsidR="009B2DE5">
        <w:rPr>
          <w:rFonts w:ascii="Gill Sans MT" w:eastAsia="Gill Sans MT" w:hAnsi="Gill Sans MT"/>
          <w:color w:val="000000"/>
        </w:rPr>
        <w:t xml:space="preserve"> or relevant College Officer</w:t>
      </w:r>
      <w:r w:rsidRPr="00CE3ADA">
        <w:rPr>
          <w:rFonts w:ascii="Gill Sans MT" w:eastAsia="Gill Sans MT" w:hAnsi="Gill Sans MT"/>
          <w:color w:val="000000"/>
        </w:rPr>
        <w:t xml:space="preserve"> where they believe the opportunity for fraud exists because of poor procedures or lack of effective supervision;</w:t>
      </w:r>
    </w:p>
    <w:p w14:paraId="0A680E50" w14:textId="77777777" w:rsidR="005D7D20" w:rsidRPr="00CE3ADA" w:rsidRDefault="005D7D20" w:rsidP="003C7EDF">
      <w:pPr>
        <w:pStyle w:val="ListParagraph"/>
        <w:numPr>
          <w:ilvl w:val="0"/>
          <w:numId w:val="2"/>
        </w:numPr>
        <w:rPr>
          <w:rFonts w:ascii="Gill Sans MT" w:eastAsia="Gill Sans MT" w:hAnsi="Gill Sans MT"/>
          <w:color w:val="000000"/>
        </w:rPr>
      </w:pPr>
      <w:r w:rsidRPr="00CE3ADA">
        <w:rPr>
          <w:rFonts w:ascii="Gill Sans MT" w:eastAsia="Gill Sans MT" w:hAnsi="Gill Sans MT"/>
          <w:color w:val="000000"/>
        </w:rPr>
        <w:t>Has a responsibility to report details of (a) any suspected or actual fraud, or (b) any suspicious acts or events, to their line manager or College Officer. Alternatively, issues can be reported via the Whistleblowing Policy; and</w:t>
      </w:r>
    </w:p>
    <w:p w14:paraId="54F9BD2C" w14:textId="77777777" w:rsidR="005D7D20" w:rsidRPr="00CE3ADA" w:rsidRDefault="005D7D20" w:rsidP="003C7EDF">
      <w:pPr>
        <w:pStyle w:val="ListParagraph"/>
        <w:numPr>
          <w:ilvl w:val="0"/>
          <w:numId w:val="2"/>
        </w:numPr>
        <w:rPr>
          <w:rFonts w:ascii="Gill Sans MT" w:eastAsia="Gill Sans MT" w:hAnsi="Gill Sans MT"/>
          <w:color w:val="000000"/>
        </w:rPr>
      </w:pPr>
      <w:r w:rsidRPr="00CE3ADA">
        <w:rPr>
          <w:rFonts w:ascii="Gill Sans MT" w:eastAsia="Gill Sans MT" w:hAnsi="Gill Sans MT"/>
          <w:color w:val="000000"/>
        </w:rPr>
        <w:t>Is required to assist in any investigations by making available all relevant information and by co-operating in interviews.</w:t>
      </w:r>
    </w:p>
    <w:p w14:paraId="0BDB1DF9" w14:textId="77777777" w:rsidR="005D7D20" w:rsidRPr="00CE3ADA" w:rsidRDefault="005D7D20" w:rsidP="005D7D20">
      <w:pPr>
        <w:rPr>
          <w:rFonts w:ascii="Gill Sans MT" w:eastAsia="Gill Sans MT" w:hAnsi="Gill Sans MT"/>
          <w:b/>
          <w:color w:val="000000"/>
        </w:rPr>
      </w:pPr>
      <w:r w:rsidRPr="00CE3ADA">
        <w:rPr>
          <w:rFonts w:ascii="Gill Sans MT" w:eastAsia="Gill Sans MT" w:hAnsi="Gill Sans MT"/>
          <w:b/>
          <w:color w:val="000000"/>
        </w:rPr>
        <w:t>Response to actual or suspected fraud</w:t>
      </w:r>
    </w:p>
    <w:p w14:paraId="70199CE4" w14:textId="551EFC39" w:rsidR="005D7D20" w:rsidRDefault="005D7D20" w:rsidP="005D7D20">
      <w:pPr>
        <w:rPr>
          <w:rFonts w:ascii="Gill Sans MT" w:eastAsia="Gill Sans MT" w:hAnsi="Gill Sans MT"/>
          <w:color w:val="000000"/>
        </w:rPr>
      </w:pPr>
      <w:r w:rsidRPr="007B7399">
        <w:rPr>
          <w:rFonts w:ascii="Gill Sans MT" w:eastAsia="Gill Sans MT" w:hAnsi="Gill Sans MT"/>
          <w:color w:val="000000" w:themeColor="text1"/>
        </w:rPr>
        <w:lastRenderedPageBreak/>
        <w:t xml:space="preserve">In the event of fraud being suspected, you are asked to contact your line manager or one of the College Officers. After an initial review of the situation and any evidence, they will notify the </w:t>
      </w:r>
      <w:proofErr w:type="gramStart"/>
      <w:r w:rsidRPr="007B7399">
        <w:rPr>
          <w:rFonts w:ascii="Gill Sans MT" w:eastAsia="Gill Sans MT" w:hAnsi="Gill Sans MT"/>
          <w:color w:val="000000" w:themeColor="text1"/>
        </w:rPr>
        <w:t>Principal</w:t>
      </w:r>
      <w:proofErr w:type="gramEnd"/>
      <w:r w:rsidRPr="007B7399">
        <w:rPr>
          <w:rFonts w:ascii="Gill Sans MT" w:eastAsia="Gill Sans MT" w:hAnsi="Gill Sans MT"/>
          <w:color w:val="000000" w:themeColor="text1"/>
        </w:rPr>
        <w:t>. Where appropriate, they will also be responsible for notifying the police and the College’s insurers.</w:t>
      </w:r>
      <w:r w:rsidR="004E5198" w:rsidRPr="007B7399">
        <w:rPr>
          <w:rFonts w:ascii="Gill Sans MT" w:eastAsia="Gill Sans MT" w:hAnsi="Gill Sans MT"/>
          <w:color w:val="000000" w:themeColor="text1"/>
        </w:rPr>
        <w:t xml:space="preserve"> The princip</w:t>
      </w:r>
      <w:r w:rsidR="004D1E35">
        <w:rPr>
          <w:rFonts w:ascii="Gill Sans MT" w:eastAsia="Gill Sans MT" w:hAnsi="Gill Sans MT"/>
          <w:color w:val="000000" w:themeColor="text1"/>
        </w:rPr>
        <w:t>le</w:t>
      </w:r>
      <w:r w:rsidR="004E5198" w:rsidRPr="007B7399">
        <w:rPr>
          <w:rFonts w:ascii="Gill Sans MT" w:eastAsia="Gill Sans MT" w:hAnsi="Gill Sans MT"/>
          <w:color w:val="000000" w:themeColor="text1"/>
        </w:rPr>
        <w:t xml:space="preserve"> of informing the minimum number of people required in order to maintain confidentiality and efficiency of investigation will be applied but Governing Body will be informed that a suspicion of fraud is in hand. Governing Body will usually agree a small panel to maintain oversight of the investigation. If any College Officers or Governing Body members are subject of a report </w:t>
      </w:r>
      <w:proofErr w:type="gramStart"/>
      <w:r w:rsidR="004E5198" w:rsidRPr="007B7399">
        <w:rPr>
          <w:rFonts w:ascii="Gill Sans MT" w:eastAsia="Gill Sans MT" w:hAnsi="Gill Sans MT"/>
          <w:color w:val="000000" w:themeColor="text1"/>
        </w:rPr>
        <w:t>themselves</w:t>
      </w:r>
      <w:proofErr w:type="gramEnd"/>
      <w:r w:rsidR="004E5198" w:rsidRPr="007B7399">
        <w:rPr>
          <w:rFonts w:ascii="Gill Sans MT" w:eastAsia="Gill Sans MT" w:hAnsi="Gill Sans MT"/>
          <w:color w:val="000000" w:themeColor="text1"/>
        </w:rPr>
        <w:t xml:space="preserve"> they will be excluded for all relevant discussion.</w:t>
      </w:r>
    </w:p>
    <w:p w14:paraId="40231806" w14:textId="7D855E63" w:rsidR="009B2DE5" w:rsidRPr="009B2DE5" w:rsidRDefault="009B2DE5" w:rsidP="009B2DE5">
      <w:pPr>
        <w:rPr>
          <w:rFonts w:ascii="Gill Sans MT" w:eastAsia="Gill Sans MT" w:hAnsi="Gill Sans MT"/>
          <w:color w:val="000000"/>
        </w:rPr>
      </w:pPr>
      <w:r w:rsidRPr="009B2DE5">
        <w:rPr>
          <w:rFonts w:ascii="Gill Sans MT" w:eastAsia="Gill Sans MT" w:hAnsi="Gill Sans MT"/>
          <w:color w:val="000000"/>
        </w:rPr>
        <w:t>Details on the protection and confidentiality available to any reports made through the</w:t>
      </w:r>
      <w:r w:rsidR="004D1E35" w:rsidRPr="004D1E35">
        <w:rPr>
          <w:rFonts w:ascii="Gill Sans MT" w:eastAsia="Gill Sans MT" w:hAnsi="Gill Sans MT"/>
          <w:color w:val="000000"/>
        </w:rPr>
        <w:t xml:space="preserve"> </w:t>
      </w:r>
      <w:r w:rsidR="004D1E35">
        <w:rPr>
          <w:rFonts w:ascii="Gill Sans MT" w:eastAsia="Gill Sans MT" w:hAnsi="Gill Sans MT"/>
          <w:color w:val="000000"/>
        </w:rPr>
        <w:t>College</w:t>
      </w:r>
      <w:r w:rsidRPr="009B2DE5">
        <w:rPr>
          <w:rFonts w:ascii="Gill Sans MT" w:eastAsia="Gill Sans MT" w:hAnsi="Gill Sans MT"/>
          <w:color w:val="000000"/>
        </w:rPr>
        <w:t xml:space="preserve">’s whistleblowing process are included in the </w:t>
      </w:r>
      <w:hyperlink r:id="rId11" w:history="1">
        <w:r w:rsidRPr="004E5198">
          <w:rPr>
            <w:rStyle w:val="Hyperlink"/>
            <w:rFonts w:ascii="Gill Sans MT" w:eastAsia="Gill Sans MT" w:hAnsi="Gill Sans MT"/>
          </w:rPr>
          <w:t>W</w:t>
        </w:r>
        <w:r w:rsidR="000E54F6" w:rsidRPr="004E5198">
          <w:rPr>
            <w:rStyle w:val="Hyperlink"/>
            <w:rFonts w:ascii="Gill Sans MT" w:eastAsia="Gill Sans MT" w:hAnsi="Gill Sans MT"/>
          </w:rPr>
          <w:t xml:space="preserve">histleblowing </w:t>
        </w:r>
        <w:r w:rsidR="004E5198" w:rsidRPr="004E5198">
          <w:rPr>
            <w:rStyle w:val="Hyperlink"/>
            <w:rFonts w:ascii="Gill Sans MT" w:eastAsia="Gill Sans MT" w:hAnsi="Gill Sans MT"/>
          </w:rPr>
          <w:t>Code of Practice</w:t>
        </w:r>
      </w:hyperlink>
    </w:p>
    <w:p w14:paraId="24C12CC7" w14:textId="35419424" w:rsidR="009B2DE5" w:rsidRPr="009B2DE5" w:rsidRDefault="009B2DE5" w:rsidP="009B2DE5">
      <w:pPr>
        <w:rPr>
          <w:rFonts w:ascii="Gill Sans MT" w:eastAsia="Gill Sans MT" w:hAnsi="Gill Sans MT"/>
          <w:color w:val="000000"/>
        </w:rPr>
      </w:pPr>
      <w:r w:rsidRPr="009B2DE5">
        <w:rPr>
          <w:rFonts w:ascii="Gill Sans MT" w:eastAsia="Gill Sans MT" w:hAnsi="Gill Sans MT"/>
          <w:color w:val="000000"/>
        </w:rPr>
        <w:t xml:space="preserve">Reports may be made </w:t>
      </w:r>
      <w:r w:rsidR="004D1E35">
        <w:rPr>
          <w:rFonts w:ascii="Gill Sans MT" w:eastAsia="Gill Sans MT" w:hAnsi="Gill Sans MT"/>
          <w:color w:val="000000"/>
        </w:rPr>
        <w:t xml:space="preserve">completely </w:t>
      </w:r>
      <w:r w:rsidRPr="009B2DE5">
        <w:rPr>
          <w:rFonts w:ascii="Gill Sans MT" w:eastAsia="Gill Sans MT" w:hAnsi="Gill Sans MT"/>
          <w:color w:val="000000"/>
        </w:rPr>
        <w:t>anonymously</w:t>
      </w:r>
      <w:r w:rsidR="000E54F6">
        <w:rPr>
          <w:rFonts w:ascii="Gill Sans MT" w:eastAsia="Gill Sans MT" w:hAnsi="Gill Sans MT"/>
          <w:color w:val="000000"/>
        </w:rPr>
        <w:t xml:space="preserve"> </w:t>
      </w:r>
      <w:r w:rsidRPr="009B2DE5">
        <w:rPr>
          <w:rFonts w:ascii="Gill Sans MT" w:eastAsia="Gill Sans MT" w:hAnsi="Gill Sans MT"/>
          <w:color w:val="000000"/>
        </w:rPr>
        <w:t xml:space="preserve">but this may limit the ability of the </w:t>
      </w:r>
      <w:r w:rsidR="004D1E35">
        <w:rPr>
          <w:rFonts w:ascii="Gill Sans MT" w:eastAsia="Gill Sans MT" w:hAnsi="Gill Sans MT"/>
          <w:color w:val="000000"/>
        </w:rPr>
        <w:t>Colleges ability</w:t>
      </w:r>
      <w:r w:rsidR="004D1E35" w:rsidRPr="009B2DE5">
        <w:rPr>
          <w:rFonts w:ascii="Gill Sans MT" w:eastAsia="Gill Sans MT" w:hAnsi="Gill Sans MT"/>
          <w:color w:val="000000"/>
        </w:rPr>
        <w:t xml:space="preserve"> </w:t>
      </w:r>
      <w:r w:rsidRPr="009B2DE5">
        <w:rPr>
          <w:rFonts w:ascii="Gill Sans MT" w:eastAsia="Gill Sans MT" w:hAnsi="Gill Sans MT"/>
          <w:color w:val="000000"/>
        </w:rPr>
        <w:t>to undertake investigations and provide feedback effectively. Further, where there is no documentary evidence linking an anonymous person to the disclosure, any staff or associated persons, who submit a report anonymously, may not qualify for the protections received as a whistleblower.</w:t>
      </w:r>
    </w:p>
    <w:p w14:paraId="1C02B4DF" w14:textId="77777777" w:rsidR="009B2DE5" w:rsidRPr="009B2DE5" w:rsidRDefault="009B2DE5" w:rsidP="009B2DE5">
      <w:pPr>
        <w:rPr>
          <w:rFonts w:ascii="Gill Sans MT" w:eastAsia="Gill Sans MT" w:hAnsi="Gill Sans MT"/>
          <w:color w:val="000000"/>
        </w:rPr>
      </w:pPr>
      <w:r w:rsidRPr="009B2DE5">
        <w:rPr>
          <w:rFonts w:ascii="Gill Sans MT" w:eastAsia="Gill Sans MT" w:hAnsi="Gill Sans MT"/>
          <w:color w:val="000000"/>
        </w:rPr>
        <w:t>Reports submitted should include, to the extent known, the following information:</w:t>
      </w:r>
    </w:p>
    <w:p w14:paraId="1E5D2FCE" w14:textId="2300E9E4" w:rsidR="009B2DE5" w:rsidRPr="009B2DE5" w:rsidRDefault="009B2DE5" w:rsidP="009B2DE5">
      <w:pPr>
        <w:pStyle w:val="ListParagraph"/>
        <w:numPr>
          <w:ilvl w:val="0"/>
          <w:numId w:val="3"/>
        </w:numPr>
        <w:rPr>
          <w:rFonts w:ascii="Gill Sans MT" w:eastAsia="Gill Sans MT" w:hAnsi="Gill Sans MT"/>
          <w:color w:val="000000"/>
        </w:rPr>
      </w:pPr>
      <w:r w:rsidRPr="009B2DE5">
        <w:rPr>
          <w:rFonts w:ascii="Gill Sans MT" w:eastAsia="Gill Sans MT" w:hAnsi="Gill Sans MT"/>
          <w:color w:val="000000"/>
        </w:rPr>
        <w:t>a brief description of the alleged irregularity (including any detail available about the potential monetary or reputational impacts);</w:t>
      </w:r>
    </w:p>
    <w:p w14:paraId="77FFBE56" w14:textId="4DC3C4EA" w:rsidR="009B2DE5" w:rsidRPr="009B2DE5" w:rsidRDefault="009B2DE5" w:rsidP="009B2DE5">
      <w:pPr>
        <w:pStyle w:val="ListParagraph"/>
        <w:numPr>
          <w:ilvl w:val="0"/>
          <w:numId w:val="3"/>
        </w:numPr>
        <w:rPr>
          <w:rFonts w:ascii="Gill Sans MT" w:eastAsia="Gill Sans MT" w:hAnsi="Gill Sans MT"/>
          <w:color w:val="000000"/>
        </w:rPr>
      </w:pPr>
      <w:r w:rsidRPr="009B2DE5">
        <w:rPr>
          <w:rFonts w:ascii="Gill Sans MT" w:eastAsia="Gill Sans MT" w:hAnsi="Gill Sans MT"/>
          <w:color w:val="000000"/>
        </w:rPr>
        <w:t>any evidence that supports the allegations;</w:t>
      </w:r>
    </w:p>
    <w:p w14:paraId="2935D48B" w14:textId="6361F791" w:rsidR="009B2DE5" w:rsidRPr="009B2DE5" w:rsidRDefault="009B2DE5" w:rsidP="009B2DE5">
      <w:pPr>
        <w:pStyle w:val="ListParagraph"/>
        <w:numPr>
          <w:ilvl w:val="0"/>
          <w:numId w:val="3"/>
        </w:numPr>
        <w:rPr>
          <w:rFonts w:ascii="Gill Sans MT" w:eastAsia="Gill Sans MT" w:hAnsi="Gill Sans MT"/>
          <w:color w:val="000000"/>
        </w:rPr>
      </w:pPr>
      <w:r w:rsidRPr="009B2DE5">
        <w:rPr>
          <w:rFonts w:ascii="Gill Sans MT" w:eastAsia="Gill Sans MT" w:hAnsi="Gill Sans MT"/>
          <w:color w:val="000000"/>
        </w:rPr>
        <w:t>the identity of the individual(s) responsible; and</w:t>
      </w:r>
    </w:p>
    <w:p w14:paraId="767B4CCB" w14:textId="10DCC5BF" w:rsidR="004D1E35" w:rsidRDefault="009B2DE5" w:rsidP="004D1E35">
      <w:pPr>
        <w:pStyle w:val="ListParagraph"/>
        <w:numPr>
          <w:ilvl w:val="0"/>
          <w:numId w:val="3"/>
        </w:numPr>
        <w:rPr>
          <w:rFonts w:ascii="Gill Sans MT" w:eastAsia="Gill Sans MT" w:hAnsi="Gill Sans MT"/>
          <w:color w:val="000000"/>
        </w:rPr>
      </w:pPr>
      <w:r w:rsidRPr="009B2DE5">
        <w:rPr>
          <w:rFonts w:ascii="Gill Sans MT" w:eastAsia="Gill Sans MT" w:hAnsi="Gill Sans MT"/>
          <w:color w:val="000000"/>
        </w:rPr>
        <w:t xml:space="preserve">a description of the risks around potential further damage / loss and timescales for this </w:t>
      </w:r>
      <w:r w:rsidRPr="009B2DE5">
        <w:rPr>
          <w:rFonts w:ascii="Gill Sans MT" w:eastAsia="Gill Sans MT" w:hAnsi="Gill Sans MT" w:cs="Gill Sans MT"/>
          <w:color w:val="000000"/>
        </w:rPr>
        <w:t>–</w:t>
      </w:r>
      <w:r w:rsidRPr="009B2DE5">
        <w:rPr>
          <w:rFonts w:ascii="Gill Sans MT" w:eastAsia="Gill Sans MT" w:hAnsi="Gill Sans MT"/>
          <w:color w:val="000000"/>
        </w:rPr>
        <w:t xml:space="preserve"> including potential impacts on third parties as applicable.</w:t>
      </w:r>
    </w:p>
    <w:p w14:paraId="009AE25E" w14:textId="41A1BA07" w:rsidR="004D1E35" w:rsidRDefault="004D1E35" w:rsidP="004D1E35">
      <w:pPr>
        <w:rPr>
          <w:rFonts w:ascii="Gill Sans MT" w:eastAsia="Gill Sans MT" w:hAnsi="Gill Sans MT"/>
          <w:color w:val="000000"/>
        </w:rPr>
      </w:pPr>
    </w:p>
    <w:p w14:paraId="746A76A8" w14:textId="68811AE0" w:rsidR="004D1E35" w:rsidRPr="004D1E35" w:rsidRDefault="004D1E35" w:rsidP="004D1E35">
      <w:pPr>
        <w:rPr>
          <w:rFonts w:ascii="Gill Sans MT" w:eastAsia="Gill Sans MT" w:hAnsi="Gill Sans MT"/>
          <w:color w:val="000000"/>
        </w:rPr>
      </w:pPr>
      <w:r>
        <w:rPr>
          <w:rFonts w:ascii="Gill Sans MT" w:eastAsia="Gill Sans MT" w:hAnsi="Gill Sans MT"/>
          <w:color w:val="000000"/>
        </w:rPr>
        <w:t>Last review: November 2024</w:t>
      </w:r>
    </w:p>
    <w:sectPr w:rsidR="004D1E35" w:rsidRPr="004D1E3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0ABC" w14:textId="77777777" w:rsidR="00942417" w:rsidRDefault="004D1E35">
      <w:pPr>
        <w:spacing w:after="0" w:line="240" w:lineRule="auto"/>
      </w:pPr>
      <w:r>
        <w:separator/>
      </w:r>
    </w:p>
  </w:endnote>
  <w:endnote w:type="continuationSeparator" w:id="0">
    <w:p w14:paraId="17682552" w14:textId="77777777" w:rsidR="00942417" w:rsidRDefault="004D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A34A" w14:textId="77777777" w:rsidR="00E61629" w:rsidRDefault="00E61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61904"/>
      <w:docPartObj>
        <w:docPartGallery w:val="Page Numbers (Bottom of Page)"/>
        <w:docPartUnique/>
      </w:docPartObj>
    </w:sdtPr>
    <w:sdtEndPr/>
    <w:sdtContent>
      <w:sdt>
        <w:sdtPr>
          <w:id w:val="1728636285"/>
          <w:docPartObj>
            <w:docPartGallery w:val="Page Numbers (Top of Page)"/>
            <w:docPartUnique/>
          </w:docPartObj>
        </w:sdtPr>
        <w:sdtEndPr/>
        <w:sdtContent>
          <w:p w14:paraId="5B3924EF" w14:textId="7E34AA88" w:rsidR="000B3FD7" w:rsidRDefault="004E51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E3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E35">
              <w:rPr>
                <w:b/>
                <w:bCs/>
                <w:noProof/>
              </w:rPr>
              <w:t>3</w:t>
            </w:r>
            <w:r>
              <w:rPr>
                <w:b/>
                <w:bCs/>
                <w:sz w:val="24"/>
                <w:szCs w:val="24"/>
              </w:rPr>
              <w:fldChar w:fldCharType="end"/>
            </w:r>
          </w:p>
        </w:sdtContent>
      </w:sdt>
    </w:sdtContent>
  </w:sdt>
  <w:p w14:paraId="3A4AC1BC" w14:textId="77777777" w:rsidR="000B3FD7" w:rsidRDefault="000B3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D231" w14:textId="77777777" w:rsidR="00E61629" w:rsidRDefault="00E61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49D4" w14:textId="77777777" w:rsidR="00942417" w:rsidRDefault="004D1E35">
      <w:pPr>
        <w:spacing w:after="0" w:line="240" w:lineRule="auto"/>
      </w:pPr>
      <w:r>
        <w:separator/>
      </w:r>
    </w:p>
  </w:footnote>
  <w:footnote w:type="continuationSeparator" w:id="0">
    <w:p w14:paraId="5B0DE4B3" w14:textId="77777777" w:rsidR="00942417" w:rsidRDefault="004D1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8BD1" w14:textId="77777777" w:rsidR="00E61629" w:rsidRDefault="00E61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A340" w14:textId="77777777" w:rsidR="00E61629" w:rsidRDefault="00E61629" w:rsidP="00E61629">
    <w:pPr>
      <w:pStyle w:val="Header"/>
      <w:jc w:val="right"/>
    </w:pPr>
    <w:r>
      <w:t>Last updated: Michaelmas Term 2024</w:t>
    </w:r>
  </w:p>
  <w:p w14:paraId="640B1CD4" w14:textId="0720E0FB" w:rsidR="005B0D87" w:rsidRPr="00E61629" w:rsidRDefault="005B0D87" w:rsidP="00E61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183A" w14:textId="77777777" w:rsidR="00E61629" w:rsidRDefault="00E61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91C69"/>
    <w:multiLevelType w:val="hybridMultilevel"/>
    <w:tmpl w:val="251E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82749"/>
    <w:multiLevelType w:val="hybridMultilevel"/>
    <w:tmpl w:val="B680C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9D2836"/>
    <w:multiLevelType w:val="hybridMultilevel"/>
    <w:tmpl w:val="1084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380459">
    <w:abstractNumId w:val="0"/>
  </w:num>
  <w:num w:numId="2" w16cid:durableId="394815118">
    <w:abstractNumId w:val="2"/>
  </w:num>
  <w:num w:numId="3" w16cid:durableId="1545604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20"/>
    <w:rsid w:val="000B3FD7"/>
    <w:rsid w:val="000E54F6"/>
    <w:rsid w:val="003C7EDF"/>
    <w:rsid w:val="004D1E35"/>
    <w:rsid w:val="004E5198"/>
    <w:rsid w:val="005B0D87"/>
    <w:rsid w:val="005D7D20"/>
    <w:rsid w:val="005E39D3"/>
    <w:rsid w:val="007B0B8B"/>
    <w:rsid w:val="007B7399"/>
    <w:rsid w:val="00942417"/>
    <w:rsid w:val="009B2DE5"/>
    <w:rsid w:val="00E61629"/>
    <w:rsid w:val="3E86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54F0"/>
  <w15:chartTrackingRefBased/>
  <w15:docId w15:val="{18325680-4FC9-46AE-9902-346355AB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D20"/>
    <w:pPr>
      <w:ind w:left="720"/>
      <w:contextualSpacing/>
    </w:pPr>
  </w:style>
  <w:style w:type="paragraph" w:styleId="Footer">
    <w:name w:val="footer"/>
    <w:basedOn w:val="Normal"/>
    <w:link w:val="FooterChar"/>
    <w:uiPriority w:val="99"/>
    <w:unhideWhenUsed/>
    <w:rsid w:val="005D7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D20"/>
  </w:style>
  <w:style w:type="paragraph" w:styleId="NormalWeb">
    <w:name w:val="Normal (Web)"/>
    <w:basedOn w:val="Normal"/>
    <w:uiPriority w:val="99"/>
    <w:semiHidden/>
    <w:unhideWhenUsed/>
    <w:rsid w:val="009B2D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B2DE5"/>
    <w:rPr>
      <w:color w:val="0000FF"/>
      <w:u w:val="single"/>
    </w:rPr>
  </w:style>
  <w:style w:type="character" w:styleId="CommentReference">
    <w:name w:val="annotation reference"/>
    <w:basedOn w:val="DefaultParagraphFont"/>
    <w:uiPriority w:val="99"/>
    <w:semiHidden/>
    <w:unhideWhenUsed/>
    <w:rsid w:val="004E5198"/>
    <w:rPr>
      <w:sz w:val="16"/>
      <w:szCs w:val="16"/>
    </w:rPr>
  </w:style>
  <w:style w:type="paragraph" w:styleId="CommentText">
    <w:name w:val="annotation text"/>
    <w:basedOn w:val="Normal"/>
    <w:link w:val="CommentTextChar"/>
    <w:uiPriority w:val="99"/>
    <w:semiHidden/>
    <w:unhideWhenUsed/>
    <w:rsid w:val="004E5198"/>
    <w:pPr>
      <w:spacing w:line="240" w:lineRule="auto"/>
    </w:pPr>
    <w:rPr>
      <w:sz w:val="20"/>
      <w:szCs w:val="20"/>
    </w:rPr>
  </w:style>
  <w:style w:type="character" w:customStyle="1" w:styleId="CommentTextChar">
    <w:name w:val="Comment Text Char"/>
    <w:basedOn w:val="DefaultParagraphFont"/>
    <w:link w:val="CommentText"/>
    <w:uiPriority w:val="99"/>
    <w:semiHidden/>
    <w:rsid w:val="004E5198"/>
    <w:rPr>
      <w:sz w:val="20"/>
      <w:szCs w:val="20"/>
    </w:rPr>
  </w:style>
  <w:style w:type="paragraph" w:styleId="CommentSubject">
    <w:name w:val="annotation subject"/>
    <w:basedOn w:val="CommentText"/>
    <w:next w:val="CommentText"/>
    <w:link w:val="CommentSubjectChar"/>
    <w:uiPriority w:val="99"/>
    <w:semiHidden/>
    <w:unhideWhenUsed/>
    <w:rsid w:val="004E5198"/>
    <w:rPr>
      <w:b/>
      <w:bCs/>
    </w:rPr>
  </w:style>
  <w:style w:type="character" w:customStyle="1" w:styleId="CommentSubjectChar">
    <w:name w:val="Comment Subject Char"/>
    <w:basedOn w:val="CommentTextChar"/>
    <w:link w:val="CommentSubject"/>
    <w:uiPriority w:val="99"/>
    <w:semiHidden/>
    <w:rsid w:val="004E5198"/>
    <w:rPr>
      <w:b/>
      <w:bCs/>
      <w:sz w:val="20"/>
      <w:szCs w:val="20"/>
    </w:rPr>
  </w:style>
  <w:style w:type="paragraph" w:styleId="BalloonText">
    <w:name w:val="Balloon Text"/>
    <w:basedOn w:val="Normal"/>
    <w:link w:val="BalloonTextChar"/>
    <w:uiPriority w:val="99"/>
    <w:semiHidden/>
    <w:unhideWhenUsed/>
    <w:rsid w:val="004E5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98"/>
    <w:rPr>
      <w:rFonts w:ascii="Segoe UI" w:hAnsi="Segoe UI" w:cs="Segoe UI"/>
      <w:sz w:val="18"/>
      <w:szCs w:val="18"/>
    </w:rPr>
  </w:style>
  <w:style w:type="paragraph" w:styleId="Header">
    <w:name w:val="header"/>
    <w:basedOn w:val="Normal"/>
    <w:link w:val="HeaderChar"/>
    <w:uiPriority w:val="99"/>
    <w:unhideWhenUsed/>
    <w:rsid w:val="005B0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7523">
      <w:bodyDiv w:val="1"/>
      <w:marLeft w:val="0"/>
      <w:marRight w:val="0"/>
      <w:marTop w:val="0"/>
      <w:marBottom w:val="0"/>
      <w:divBdr>
        <w:top w:val="none" w:sz="0" w:space="0" w:color="auto"/>
        <w:left w:val="none" w:sz="0" w:space="0" w:color="auto"/>
        <w:bottom w:val="none" w:sz="0" w:space="0" w:color="auto"/>
        <w:right w:val="none" w:sz="0" w:space="0" w:color="auto"/>
      </w:divBdr>
    </w:div>
    <w:div w:id="8119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esuscollegeintranet.web.ox.ac.uk/sitefiles/202311-whistle-blowing-code-of-practice.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e6d0a9-0b51-4d73-9503-40bf31f162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2D3012D89D241A1DAA94C01DB6193" ma:contentTypeVersion="15" ma:contentTypeDescription="Create a new document." ma:contentTypeScope="" ma:versionID="a0e6608180f55191345b6b4be33bfc3a">
  <xsd:schema xmlns:xsd="http://www.w3.org/2001/XMLSchema" xmlns:xs="http://www.w3.org/2001/XMLSchema" xmlns:p="http://schemas.microsoft.com/office/2006/metadata/properties" xmlns:ns3="3de6d0a9-0b51-4d73-9503-40bf31f162c1" xmlns:ns4="c76da01a-b591-4e6d-a58a-0da7c155c2eb" targetNamespace="http://schemas.microsoft.com/office/2006/metadata/properties" ma:root="true" ma:fieldsID="fcd9d1b719a06e07ae6afc5ae1537dfd" ns3:_="" ns4:_="">
    <xsd:import namespace="3de6d0a9-0b51-4d73-9503-40bf31f162c1"/>
    <xsd:import namespace="c76da01a-b591-4e6d-a58a-0da7c155c2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6d0a9-0b51-4d73-9503-40bf31f16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da01a-b591-4e6d-a58a-0da7c155c2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AC2DD-4254-4867-94A4-59B2D05371FF}">
  <ds:schemaRefs>
    <ds:schemaRef ds:uri="c76da01a-b591-4e6d-a58a-0da7c155c2eb"/>
    <ds:schemaRef ds:uri="http://purl.org/dc/dcmitype/"/>
    <ds:schemaRef ds:uri="3de6d0a9-0b51-4d73-9503-40bf31f162c1"/>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55351FB-E9BD-484B-8F04-A1E7FD8E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6d0a9-0b51-4d73-9503-40bf31f162c1"/>
    <ds:schemaRef ds:uri="c76da01a-b591-4e6d-a58a-0da7c155c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B1869-321E-48CC-9A0C-96B954EC8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Winter</dc:creator>
  <cp:keywords/>
  <dc:description/>
  <cp:lastModifiedBy>Cait Winter</cp:lastModifiedBy>
  <cp:revision>8</cp:revision>
  <dcterms:created xsi:type="dcterms:W3CDTF">2024-11-08T16:25:00Z</dcterms:created>
  <dcterms:modified xsi:type="dcterms:W3CDTF">2025-10-06T16:43:00Z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0x0101008F22D3012D89D241A1DAA94C01DB6193</vt:lpwstr>
  </property>
</Properties>
</file>